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>FIȘĂ DE CUNOAȘTERE A CLIENTELEI – P.F. (CSB / CFT)</w:t>
      </w:r>
      <w:r>
        <w:rPr>
          <w:rStyle w:val="FootnoteReference"/>
          <w:rFonts w:cs="Calibri" w:ascii="Times New Roman" w:hAnsi="Times New Roman" w:cstheme="minorHAnsi"/>
          <w:b/>
          <w:bCs/>
          <w:sz w:val="26"/>
          <w:szCs w:val="26"/>
        </w:rPr>
        <w:footnoteReference w:id="2"/>
      </w: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cs="Calibri" w:ascii="Times New Roman" w:hAnsi="Times New Roman" w:cstheme="minorHAnsi"/>
          <w:b w:val="false"/>
          <w:bCs w:val="false"/>
          <w:i/>
          <w:iCs/>
          <w:sz w:val="26"/>
          <w:szCs w:val="26"/>
        </w:rPr>
        <w:t>KNOW YOUR CUSTOMER SHEET – P.F. (CSB / CFT)1</w:t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b/>
          <w:bCs/>
          <w:sz w:val="26"/>
          <w:szCs w:val="26"/>
        </w:rPr>
      </w:pPr>
      <w:r>
        <w:rPr>
          <w:rFonts w:cs="Calibri" w:cstheme="minorHAnsi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A. Date de identificare / </w:t>
      </w: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>Identification data: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Nume / Prenume /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 xml:space="preserve"> Full name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Domiciliu și, dacă este cazul, reședința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Domicile and, where applicable, residence: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Cetățenie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Citizenship</w:t>
      </w:r>
      <w:r>
        <w:rPr>
          <w:rStyle w:val="FootnoteReference"/>
          <w:rFonts w:cs="Calibri" w:ascii="Times New Roman" w:hAnsi="Times New Roman" w:cstheme="minorHAnsi"/>
          <w:sz w:val="24"/>
          <w:szCs w:val="24"/>
        </w:rPr>
        <w:footnoteReference w:id="3"/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C.N.P. / N.I.F. sau alt număr de identificare personal eliberat de autoritățile române sau străine ori un alt element unic de identificare similar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C.N.N.P. / N.I.F. or other personal identification number issued by Romanian or foreign authorities or other similar unique identifier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Carte de identitate seria / nr., autoritate emitentă, perioada de valabilitate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Identity card serial number, issuing authority, period of validity</w:t>
      </w:r>
      <w:r>
        <w:rPr>
          <w:rFonts w:cs="Calibri" w:ascii="Times New Roman" w:hAnsi="Times New Roman" w:cstheme="minorHAnsi"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Nr. Pașaport și autoritatea emitentă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Passport No and issuing authority</w:t>
      </w:r>
      <w:r>
        <w:rPr>
          <w:rStyle w:val="FootnoteReference"/>
          <w:rFonts w:cs="Calibri" w:ascii="Times New Roman" w:hAnsi="Times New Roman" w:cstheme="minorHAnsi"/>
          <w:i/>
          <w:iCs/>
          <w:sz w:val="24"/>
          <w:szCs w:val="24"/>
        </w:rPr>
        <w:footnoteReference w:id="4"/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B. Alte informații / </w:t>
      </w: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>Other information</w:t>
      </w:r>
      <w:r>
        <w:rPr>
          <w:rFonts w:cs="Calibri" w:ascii="Times New Roman" w:hAnsi="Times New Roman" w:cstheme="minorHAnsi"/>
          <w:b/>
          <w:bCs/>
          <w:sz w:val="26"/>
          <w:szCs w:val="26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Descrierea pe scurt a serviciul juridic solicitat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Brief description of the legal service requested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Scopul urmărit de client în raport de serviciul juridic solicitat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The client's purpose in relation to the legal service requested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Nivelul activelor care urmează să fie tranzacționate de către client în raport de  serviciul juridic solicitat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The level of assets to be traded by the client in relation to the legal service requested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Dimensiunea tranzacțiilor deja efectuate de către client în raport de serviciul juridic solicitat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The size of transactions already carried out by the client in relation to the legal service requested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Ocupația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Occupation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Sursa fondurilor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Source of funds</w:t>
      </w:r>
      <w:r>
        <w:rPr>
          <w:rStyle w:val="FootnoteReference"/>
          <w:rFonts w:cs="Calibri" w:ascii="Times New Roman" w:hAnsi="Times New Roman" w:cstheme="minorHAnsi"/>
          <w:sz w:val="24"/>
          <w:szCs w:val="24"/>
        </w:rPr>
        <w:footnoteReference w:id="5"/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b/>
          <w:bCs/>
          <w:sz w:val="26"/>
          <w:szCs w:val="26"/>
        </w:rPr>
      </w:pPr>
      <w:r>
        <w:rPr>
          <w:rFonts w:cs="Calibri" w:cstheme="minorHAnsi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C. Beneficiar real / </w:t>
      </w: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>Real beneficiary</w:t>
      </w:r>
      <w:r>
        <w:rPr>
          <w:rFonts w:cs="Calibri" w:ascii="Times New Roman" w:hAnsi="Times New Roman" w:cstheme="minorHAnsi"/>
          <w:b/>
          <w:bCs/>
          <w:sz w:val="26"/>
          <w:szCs w:val="26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 xml:space="preserve">Beneficiar real / </w:t>
      </w:r>
      <w:r>
        <w:rPr>
          <w:rFonts w:cs="Calibri" w:ascii="Times New Roman" w:hAnsi="Times New Roman" w:cstheme="minorHAnsi"/>
          <w:i/>
          <w:iCs/>
          <w:sz w:val="24"/>
          <w:szCs w:val="24"/>
        </w:rPr>
        <w:t>Real beneficiary</w:t>
      </w:r>
      <w:r>
        <w:rPr>
          <w:rFonts w:cs="Calibri" w:ascii="Times New Roman" w:hAnsi="Times New Roman" w:cstheme="minorHAnsi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cs="Calibri" w:ascii="Times New Roman" w:hAnsi="Times New Roman" w:cstheme="minorHAnsi"/>
          <w:sz w:val="20"/>
          <w:szCs w:val="20"/>
        </w:rPr>
        <w:t>* În cazul în care beneficiar real declarat este o persoană fizică distinctă de persoana clientului, atunci se va completa o fișă distinctă de cunoaștere a clientelei pentru beneficiarul real (</w:t>
      </w:r>
      <w:r>
        <w:rPr>
          <w:rFonts w:cs="Calibri" w:ascii="Times New Roman" w:hAnsi="Times New Roman" w:cstheme="minorHAnsi"/>
          <w:b/>
          <w:bCs/>
          <w:sz w:val="20"/>
          <w:szCs w:val="20"/>
        </w:rPr>
        <w:t>Anexa BF</w:t>
      </w:r>
      <w:r>
        <w:rPr>
          <w:rFonts w:cs="Calibri" w:ascii="Times New Roman" w:hAnsi="Times New Roman" w:cstheme="minorHAnsi"/>
          <w:sz w:val="20"/>
          <w:szCs w:val="20"/>
        </w:rPr>
        <w:t xml:space="preserve">) care se va anexa la prezenta fișă / </w:t>
      </w:r>
      <w:r>
        <w:rPr>
          <w:rFonts w:cs="Calibri" w:ascii="Times New Roman" w:hAnsi="Times New Roman" w:cstheme="minorHAnsi"/>
          <w:i/>
          <w:iCs/>
          <w:sz w:val="20"/>
          <w:szCs w:val="20"/>
        </w:rPr>
        <w:t>If the declared beneficial owner is a natural person distinct from the person of the client, then a separate know-your-customer sheet for the beneficial owner (</w:t>
      </w:r>
      <w:r>
        <w:rPr>
          <w:rFonts w:cs="Calibri" w:ascii="Times New Roman" w:hAnsi="Times New Roman" w:cstheme="minorHAnsi"/>
          <w:b/>
          <w:bCs/>
          <w:i/>
          <w:iCs/>
          <w:sz w:val="20"/>
          <w:szCs w:val="20"/>
        </w:rPr>
        <w:t>Annex BF</w:t>
      </w:r>
      <w:r>
        <w:rPr>
          <w:rFonts w:cs="Calibri" w:ascii="Times New Roman" w:hAnsi="Times New Roman" w:cstheme="minorHAnsi"/>
          <w:i/>
          <w:iCs/>
          <w:sz w:val="20"/>
          <w:szCs w:val="20"/>
        </w:rPr>
        <w:t>) shall be completed and attached to this sheet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cs="Calibri" w:ascii="Times New Roman" w:hAnsi="Times New Roman" w:cstheme="minorHAnsi"/>
          <w:sz w:val="20"/>
          <w:szCs w:val="20"/>
        </w:rPr>
        <w:t>**În cazul în care sunt mai mulți beneficiari reali declarați distincți de persoana clientului, atunci se va completa o fișă distinctă de cunoaștere a clientelei pentru fiecare beneficiar real în parte  (</w:t>
      </w:r>
      <w:r>
        <w:rPr>
          <w:rFonts w:cs="Calibri" w:ascii="Times New Roman" w:hAnsi="Times New Roman" w:cstheme="minorHAnsi"/>
          <w:b/>
          <w:bCs/>
          <w:sz w:val="20"/>
          <w:szCs w:val="20"/>
        </w:rPr>
        <w:t>Anexa BF</w:t>
      </w:r>
      <w:r>
        <w:rPr>
          <w:rFonts w:cs="Calibri" w:ascii="Times New Roman" w:hAnsi="Times New Roman" w:cstheme="minorHAnsi"/>
          <w:sz w:val="20"/>
          <w:szCs w:val="20"/>
        </w:rPr>
        <w:t xml:space="preserve">) care se vor anexa la prezenta fișă / </w:t>
      </w:r>
      <w:r>
        <w:rPr>
          <w:rFonts w:cs="Calibri" w:ascii="Times New Roman" w:hAnsi="Times New Roman" w:cstheme="minorHAnsi"/>
          <w:i/>
          <w:iCs/>
          <w:sz w:val="20"/>
          <w:szCs w:val="20"/>
        </w:rPr>
        <w:t>If there is more than one beneficial owner declared distinct from the person of the client, then a separate know-your-customer sheet shall be completed for each individual beneficial owner (</w:t>
      </w:r>
      <w:r>
        <w:rPr>
          <w:rFonts w:cs="Calibri" w:ascii="Times New Roman" w:hAnsi="Times New Roman" w:cstheme="minorHAnsi"/>
          <w:b/>
          <w:bCs/>
          <w:i/>
          <w:iCs/>
          <w:sz w:val="20"/>
          <w:szCs w:val="20"/>
        </w:rPr>
        <w:t>Annex BF</w:t>
      </w:r>
      <w:r>
        <w:rPr>
          <w:rFonts w:cs="Calibri" w:ascii="Times New Roman" w:hAnsi="Times New Roman" w:cstheme="minorHAnsi"/>
          <w:i/>
          <w:iCs/>
          <w:sz w:val="20"/>
          <w:szCs w:val="20"/>
        </w:rPr>
        <w:t>) and attached to this sheet</w:t>
      </w:r>
      <w:r>
        <w:rPr>
          <w:rFonts w:cs="Calibri" w:ascii="Times New Roman" w:hAnsi="Times New Roman" w:cstheme="minorHAnsi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b/>
          <w:bCs/>
          <w:sz w:val="26"/>
          <w:szCs w:val="26"/>
        </w:rPr>
      </w:pPr>
      <w:r>
        <w:rPr>
          <w:rFonts w:cs="Calibri" w:cstheme="minorHAnsi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D. Persoană expusă public / </w:t>
      </w: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 xml:space="preserve">Person on public display </w:t>
      </w:r>
      <w:r>
        <w:rPr>
          <w:rFonts w:cs="Calibri" w:ascii="Times New Roman" w:hAnsi="Times New Roman" w:cstheme="minorHAnsi"/>
          <w:b/>
          <w:bCs/>
          <w:sz w:val="26"/>
          <w:szCs w:val="26"/>
        </w:rPr>
        <w:t>(PEP):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color w:val="000000"/>
          <w:sz w:val="26"/>
          <w:szCs w:val="26"/>
        </w:rPr>
        <w:t xml:space="preserve">Clientul deține calitatea de PEP? </w:t>
      </w:r>
      <w:r>
        <w:rPr>
          <w:rFonts w:cs="Calibri" w:ascii="Times New Roman" w:hAnsi="Times New Roman" w:cstheme="minorHAnsi"/>
          <w:b/>
          <w:bCs/>
          <w:color w:val="000000"/>
          <w:sz w:val="26"/>
          <w:szCs w:val="26"/>
        </w:rPr>
        <w:t xml:space="preserve">DA / NU 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(</w:t>
      </w:r>
      <w:r>
        <w:rPr>
          <w:rFonts w:cs="Calibri" w:ascii="Times New Roman" w:hAnsi="Times New Roman" w:cstheme="minorHAnsi"/>
          <w:i w:val="false"/>
          <w:iCs w:val="false"/>
          <w:color w:val="000000"/>
          <w:sz w:val="26"/>
          <w:szCs w:val="26"/>
        </w:rPr>
        <w:t>se încercuiește răspunsul clientului)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 xml:space="preserve"> / </w:t>
      </w:r>
      <w:r>
        <w:rPr>
          <w:rFonts w:cs="Calibri" w:ascii="Times New Roman" w:hAnsi="Times New Roman" w:cstheme="minorHAnsi"/>
          <w:b w:val="false"/>
          <w:bCs w:val="false"/>
          <w:i/>
          <w:iCs/>
          <w:color w:val="000000"/>
          <w:sz w:val="26"/>
          <w:szCs w:val="26"/>
        </w:rPr>
        <w:t xml:space="preserve">The customer is PEP </w:t>
      </w:r>
      <w:r>
        <w:rPr>
          <w:rFonts w:cs="Calibri" w:ascii="Times New Roman" w:hAnsi="Times New Roman" w:cstheme="minorHAnsi"/>
          <w:b/>
          <w:bCs/>
          <w:i/>
          <w:iCs/>
          <w:color w:val="000000"/>
          <w:sz w:val="26"/>
          <w:szCs w:val="26"/>
        </w:rPr>
        <w:t xml:space="preserve">YES / NO </w:t>
      </w:r>
      <w:r>
        <w:rPr>
          <w:rFonts w:cs="Calibri" w:ascii="Times New Roman" w:hAnsi="Times New Roman" w:cstheme="minorHAnsi"/>
          <w:b w:val="false"/>
          <w:bCs w:val="false"/>
          <w:i/>
          <w:iCs/>
          <w:color w:val="000000"/>
          <w:sz w:val="26"/>
          <w:szCs w:val="26"/>
        </w:rPr>
        <w:t>(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>customer response is circled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)</w:t>
      </w:r>
      <w:r>
        <w:rPr>
          <w:rStyle w:val="FootnoteReference"/>
          <w:rFonts w:cs="Calibri" w:ascii="Times New Roman" w:hAnsi="Times New Roman" w:cstheme="minorHAnsi"/>
          <w:color w:val="000000"/>
          <w:sz w:val="26"/>
          <w:szCs w:val="26"/>
        </w:rPr>
        <w:footnoteReference w:id="6"/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color w:val="000000"/>
          <w:sz w:val="26"/>
          <w:szCs w:val="26"/>
        </w:rPr>
        <w:t>Clientul este (</w:t>
      </w:r>
      <w:r>
        <w:rPr>
          <w:rFonts w:cs="Calibri" w:ascii="Times New Roman" w:hAnsi="Times New Roman" w:cstheme="minorHAnsi"/>
          <w:b/>
          <w:bCs/>
          <w:color w:val="000000"/>
          <w:sz w:val="26"/>
          <w:szCs w:val="26"/>
        </w:rPr>
        <w:t>1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 xml:space="preserve">) </w:t>
      </w:r>
      <w:r>
        <w:rPr>
          <w:rFonts w:cs="Calibri" w:ascii="Times New Roman" w:hAnsi="Times New Roman" w:cstheme="minorHAnsi"/>
          <w:sz w:val="26"/>
          <w:szCs w:val="26"/>
        </w:rPr>
        <w:t xml:space="preserve">membru de familie al unei PEP </w:t>
      </w:r>
      <w:r>
        <w:rPr>
          <w:rFonts w:cs="Calibri" w:ascii="Times New Roman" w:hAnsi="Times New Roman" w:cstheme="minorHAnsi"/>
          <w:i/>
          <w:iCs/>
          <w:sz w:val="26"/>
          <w:szCs w:val="26"/>
        </w:rPr>
        <w:t>sau</w:t>
      </w:r>
      <w:r>
        <w:rPr>
          <w:rFonts w:cs="Calibri" w:ascii="Times New Roman" w:hAnsi="Times New Roman" w:cstheme="minorHAnsi"/>
          <w:sz w:val="26"/>
          <w:szCs w:val="26"/>
        </w:rPr>
        <w:t xml:space="preserve"> (</w:t>
      </w:r>
      <w:r>
        <w:rPr>
          <w:rFonts w:cs="Calibri" w:ascii="Times New Roman" w:hAnsi="Times New Roman" w:cstheme="minorHAnsi"/>
          <w:b/>
          <w:bCs/>
          <w:sz w:val="26"/>
          <w:szCs w:val="26"/>
        </w:rPr>
        <w:t>2</w:t>
      </w:r>
      <w:r>
        <w:rPr>
          <w:rFonts w:cs="Calibri" w:ascii="Times New Roman" w:hAnsi="Times New Roman" w:cstheme="minorHAnsi"/>
          <w:sz w:val="26"/>
          <w:szCs w:val="26"/>
        </w:rPr>
        <w:t>) persoană cunoscută public ca fiind asociat apropiat al unei PEP?:</w:t>
      </w:r>
      <w:r>
        <w:rPr>
          <w:rFonts w:cs="Calibri" w:ascii="Times New Roman" w:hAnsi="Times New Roman" w:cstheme="minorHAnsi"/>
          <w:b/>
          <w:bCs/>
          <w:color w:val="000000"/>
          <w:sz w:val="26"/>
          <w:szCs w:val="26"/>
        </w:rPr>
        <w:t xml:space="preserve"> DA 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(</w:t>
      </w:r>
      <w:r>
        <w:rPr>
          <w:rFonts w:cs="Calibri" w:ascii="Times New Roman" w:hAnsi="Times New Roman" w:cstheme="minorHAnsi"/>
          <w:b/>
          <w:bCs/>
          <w:color w:val="000000"/>
          <w:sz w:val="26"/>
          <w:szCs w:val="26"/>
        </w:rPr>
        <w:t>1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),</w:t>
      </w:r>
      <w:r>
        <w:rPr>
          <w:rFonts w:cs="Calibri" w:ascii="Times New Roman" w:hAnsi="Times New Roman" w:cstheme="minorHAnsi"/>
          <w:b/>
          <w:bCs/>
          <w:color w:val="000000"/>
          <w:sz w:val="26"/>
          <w:szCs w:val="26"/>
        </w:rPr>
        <w:t xml:space="preserve"> 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(</w:t>
      </w:r>
      <w:r>
        <w:rPr>
          <w:rFonts w:cs="Calibri" w:ascii="Times New Roman" w:hAnsi="Times New Roman" w:cstheme="minorHAnsi"/>
          <w:b/>
          <w:bCs/>
          <w:color w:val="000000"/>
          <w:sz w:val="26"/>
          <w:szCs w:val="26"/>
        </w:rPr>
        <w:t>2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)</w:t>
      </w:r>
      <w:r>
        <w:rPr>
          <w:rFonts w:cs="Calibri" w:ascii="Times New Roman" w:hAnsi="Times New Roman" w:cstheme="minorHAnsi"/>
          <w:b/>
          <w:bCs/>
          <w:color w:val="000000"/>
          <w:sz w:val="26"/>
          <w:szCs w:val="26"/>
        </w:rPr>
        <w:t xml:space="preserve"> / NU 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(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>se încercuiește răspunsul clientului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 xml:space="preserve">). </w:t>
      </w:r>
      <w:r>
        <w:rPr>
          <w:rFonts w:cs="Calibri" w:ascii="Times New Roman" w:hAnsi="Times New Roman" w:cstheme="minorHAnsi"/>
          <w:b/>
          <w:bCs/>
          <w:i/>
          <w:iCs/>
          <w:color w:val="000000"/>
          <w:sz w:val="26"/>
          <w:szCs w:val="26"/>
        </w:rPr>
        <w:t>În cazul unui răspuns afirmativ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 xml:space="preserve">Is the client (1) a family member of a PEP or (2) a person publicly known to be a close associate of a PEP: </w:t>
      </w:r>
      <w:r>
        <w:rPr>
          <w:rFonts w:cs="Calibri" w:ascii="Times New Roman" w:hAnsi="Times New Roman" w:cstheme="minorHAnsi"/>
          <w:b/>
          <w:bCs/>
          <w:i/>
          <w:iCs/>
          <w:color w:val="000000"/>
          <w:sz w:val="26"/>
          <w:szCs w:val="26"/>
        </w:rPr>
        <w:t>YES (1), (2) / NO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 xml:space="preserve"> (circle client's response)</w:t>
      </w:r>
      <w:r>
        <w:rPr>
          <w:rFonts w:cs="Calibri" w:ascii="Times New Roman" w:hAnsi="Times New Roman" w:cstheme="minorHAnsi"/>
          <w:b/>
          <w:bCs/>
          <w:i/>
          <w:iCs/>
          <w:color w:val="000000"/>
          <w:sz w:val="26"/>
          <w:szCs w:val="26"/>
        </w:rPr>
        <w:t xml:space="preserve"> If YES: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color w:val="000000"/>
          <w:sz w:val="26"/>
          <w:szCs w:val="26"/>
        </w:rPr>
        <w:t xml:space="preserve">Numele si prenumele PEP / 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>Name and surname of the PEP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color w:val="000000"/>
          <w:sz w:val="26"/>
          <w:szCs w:val="26"/>
        </w:rPr>
      </w:pPr>
      <w:r>
        <w:rPr>
          <w:rFonts w:cs="Calibri" w:cstheme="minorHAnsi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color w:val="000000"/>
          <w:sz w:val="26"/>
          <w:szCs w:val="26"/>
        </w:rPr>
        <w:t xml:space="preserve">Descrierea calității / 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>Quality description</w:t>
      </w:r>
      <w:r>
        <w:rPr>
          <w:rStyle w:val="FootnoteReference"/>
          <w:rFonts w:cs="Calibri" w:ascii="Times New Roman" w:hAnsi="Times New Roman" w:cstheme="minorHAnsi"/>
          <w:color w:val="000000"/>
          <w:sz w:val="26"/>
          <w:szCs w:val="26"/>
        </w:rPr>
        <w:footnoteReference w:id="7"/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color w:val="000000"/>
          <w:sz w:val="26"/>
          <w:szCs w:val="26"/>
        </w:rPr>
      </w:pPr>
      <w:r>
        <w:rPr>
          <w:rFonts w:cs="Calibri" w:cstheme="minorHAnsi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color w:val="000000"/>
          <w:sz w:val="26"/>
          <w:szCs w:val="26"/>
        </w:rPr>
        <w:t>Denumirea funcției publice deținută de PEP /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 xml:space="preserve"> Name of the public function held by the PEP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color w:val="000000"/>
          <w:sz w:val="26"/>
          <w:szCs w:val="26"/>
        </w:rPr>
      </w:pPr>
      <w:r>
        <w:rPr>
          <w:rFonts w:cs="Calibri" w:cstheme="minorHAnsi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color w:val="000000"/>
          <w:sz w:val="26"/>
          <w:szCs w:val="26"/>
        </w:rPr>
        <w:t xml:space="preserve">Denumirea instituției/autorității/organizației / 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>Name of the institution / authority / organization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color w:val="000000"/>
          <w:sz w:val="26"/>
          <w:szCs w:val="26"/>
        </w:rPr>
      </w:pPr>
      <w:r>
        <w:rPr>
          <w:rFonts w:cs="Calibri" w:cstheme="minorHAnsi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color w:val="000000"/>
          <w:sz w:val="26"/>
          <w:szCs w:val="26"/>
        </w:rPr>
        <w:t xml:space="preserve">Clientul declară că este de acord ca avocatul să păstreze o copie a următoarelor documente utilizate pentru completarea prezentei fișe / 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>The client agrees that the lawyer may keep a copy of the following documents used to complete this form</w:t>
      </w:r>
      <w:r>
        <w:rPr>
          <w:rFonts w:cs="Calibri" w:ascii="Times New Roman" w:hAnsi="Times New Roman" w:cstheme="minorHAnsi"/>
          <w:color w:val="000000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color w:val="000000"/>
          <w:sz w:val="26"/>
          <w:szCs w:val="26"/>
        </w:rPr>
        <w:t xml:space="preserve">Alte mențiuni ale avocatului sau declarații ale clientului (dacă este cazul) / </w:t>
      </w:r>
      <w:r>
        <w:rPr>
          <w:rFonts w:cs="Calibri" w:ascii="Times New Roman" w:hAnsi="Times New Roman" w:cstheme="minorHAnsi"/>
          <w:i/>
          <w:iCs/>
          <w:color w:val="000000"/>
          <w:sz w:val="26"/>
          <w:szCs w:val="26"/>
        </w:rPr>
        <w:t>Other lawyer's or client's statements (if any):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sz w:val="26"/>
          <w:szCs w:val="26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i w:val="false"/>
          <w:iCs w:val="false"/>
          <w:sz w:val="26"/>
          <w:szCs w:val="26"/>
        </w:rPr>
        <w:t>Se va completa olograf de către client</w:t>
      </w:r>
      <w:r>
        <w:rPr>
          <w:rFonts w:cs="Calibri" w:ascii="Times New Roman" w:hAnsi="Times New Roman" w:cstheme="minorHAnsi"/>
          <w:i/>
          <w:iCs/>
          <w:sz w:val="26"/>
          <w:szCs w:val="26"/>
        </w:rPr>
        <w:t xml:space="preserve"> / To be completed handwritten by the client: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Nume și prenume / </w:t>
      </w: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>Full name</w:t>
      </w:r>
      <w:r>
        <w:rPr>
          <w:rFonts w:cs="Calibri" w:ascii="Times New Roman" w:hAnsi="Times New Roman" w:cstheme="minorHAnsi"/>
          <w:sz w:val="26"/>
          <w:szCs w:val="26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Telefon / </w:t>
      </w: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>Phone</w:t>
      </w:r>
      <w:r>
        <w:rPr>
          <w:rFonts w:cs="Calibri" w:ascii="Times New Roman" w:hAnsi="Times New Roman" w:cstheme="minorHAnsi"/>
          <w:b/>
          <w:bCs/>
          <w:sz w:val="26"/>
          <w:szCs w:val="26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E-mail / </w:t>
      </w: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>E-mail</w:t>
      </w:r>
      <w:r>
        <w:rPr>
          <w:rFonts w:cs="Calibri" w:ascii="Times New Roman" w:hAnsi="Times New Roman" w:cstheme="minorHAnsi"/>
          <w:b/>
          <w:bCs/>
          <w:sz w:val="26"/>
          <w:szCs w:val="26"/>
        </w:rPr>
        <w:t>:</w:t>
      </w:r>
      <w:r>
        <w:rPr>
          <w:rFonts w:cs="Calibri" w:ascii="Times New Roman" w:hAnsi="Times New Roman" w:cstheme="minorHAnsi"/>
          <w:sz w:val="26"/>
          <w:szCs w:val="26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sz w:val="26"/>
          <w:szCs w:val="26"/>
        </w:rPr>
        <w:t xml:space="preserve">Data / </w:t>
      </w: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>Date</w:t>
      </w:r>
      <w:r>
        <w:rPr>
          <w:rFonts w:cs="Calibri" w:ascii="Times New Roman" w:hAnsi="Times New Roman" w:cstheme="minorHAnsi"/>
          <w:b/>
          <w:bCs/>
          <w:sz w:val="26"/>
          <w:szCs w:val="26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  <w:i/>
          <w:i/>
          <w:iCs/>
        </w:rPr>
      </w:pPr>
      <w:r>
        <w:rPr>
          <w:rFonts w:cs="Calibri" w:cstheme="minorHAnsi"/>
          <w:b/>
          <w:bCs/>
          <w:i/>
          <w:i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Calibri" w:ascii="Times New Roman" w:hAnsi="Times New Roman" w:cstheme="minorHAnsi"/>
          <w:b/>
          <w:bCs/>
          <w:i/>
          <w:iCs/>
          <w:sz w:val="26"/>
          <w:szCs w:val="26"/>
        </w:rPr>
        <w:t>Semnătura / Signature</w:t>
      </w:r>
      <w:r>
        <w:rPr>
          <w:rFonts w:cs="Calibri" w:ascii="Times New Roman" w:hAnsi="Times New Roman" w:cstheme="minorHAnsi"/>
          <w:sz w:val="26"/>
          <w:szCs w:val="26"/>
        </w:rPr>
        <w:t>: ________________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00" w:right="875" w:gutter="0" w:header="0" w:top="754" w:footer="299" w:bottom="74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593631788"/>
    </w:sdtPr>
    <w:sdtContent>
      <w:p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ascii="Times New Roman" w:hAnsi="Times New Roman"/>
          </w:rPr>
          <w:instrText xml:space="preserve"> PAGE </w:instrText>
        </w:r>
        <w:r>
          <w:rPr>
            <w:sz w:val="20"/>
            <w:szCs w:val="20"/>
            <w:rFonts w:ascii="Times New Roman" w:hAnsi="Times New Roman"/>
          </w:rPr>
          <w:fldChar w:fldCharType="separate"/>
        </w:r>
        <w:r>
          <w:rPr>
            <w:sz w:val="20"/>
            <w:szCs w:val="20"/>
            <w:rFonts w:ascii="Times New Roman" w:hAnsi="Times New Roman"/>
          </w:rPr>
          <w:t>2</w:t>
        </w:r>
        <w:r>
          <w:rPr>
            <w:sz w:val="20"/>
            <w:szCs w:val="20"/>
            <w:rFonts w:ascii="Times New Roman" w:hAnsi="Times New Roman"/>
          </w:rPr>
          <w:fldChar w:fldCharType="end"/>
        </w:r>
      </w:p>
    </w:sdtContent>
  </w:sdt>
  <w:p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593631788"/>
    </w:sdtPr>
    <w:sdtContent>
      <w:p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ascii="Times New Roman" w:hAnsi="Times New Roman"/>
          </w:rPr>
          <w:instrText xml:space="preserve"> PAGE </w:instrText>
        </w:r>
        <w:r>
          <w:rPr>
            <w:sz w:val="20"/>
            <w:szCs w:val="20"/>
            <w:rFonts w:ascii="Times New Roman" w:hAnsi="Times New Roman"/>
          </w:rPr>
          <w:fldChar w:fldCharType="separate"/>
        </w:r>
        <w:r>
          <w:rPr>
            <w:sz w:val="20"/>
            <w:szCs w:val="20"/>
            <w:rFonts w:ascii="Times New Roman" w:hAnsi="Times New Roman"/>
          </w:rPr>
          <w:t>2</w:t>
        </w:r>
        <w:r>
          <w:rPr>
            <w:sz w:val="20"/>
            <w:szCs w:val="20"/>
            <w:rFonts w:ascii="Times New Roman" w:hAnsi="Times New Roman"/>
          </w:rPr>
          <w:fldChar w:fldCharType="end"/>
        </w:r>
      </w:p>
    </w:sdtContent>
  </w:sdt>
  <w:p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 xml:space="preserve">Combaterea spălării banilor / Combaterea finanțării terorismului / </w:t>
      </w:r>
      <w:r>
        <w:rPr>
          <w:rFonts w:cs="Times New Roman" w:ascii="Times New Roman" w:hAnsi="Times New Roman"/>
          <w:i/>
          <w:iCs/>
        </w:rPr>
        <w:t>Combating money laundering / Combating terrorist financing.</w:t>
      </w:r>
    </w:p>
  </w:footnote>
  <w:footnote w:id="3">
    <w:p>
      <w:pPr>
        <w:pStyle w:val="FootnoteText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 xml:space="preserve">Se vor menționa toate cetățeniile deținute de persoana fizică / </w:t>
      </w:r>
      <w:r>
        <w:rPr>
          <w:rFonts w:cs="Times New Roman" w:ascii="Times New Roman" w:hAnsi="Times New Roman"/>
          <w:i/>
          <w:iCs/>
        </w:rPr>
        <w:t>Indicate all citizenships held by the individual</w:t>
      </w:r>
      <w:r>
        <w:rPr>
          <w:rFonts w:cs="Times New Roman" w:ascii="Times New Roman" w:hAnsi="Times New Roman"/>
        </w:rPr>
        <w:t>.</w:t>
      </w:r>
    </w:p>
  </w:footnote>
  <w:footnote w:id="4">
    <w:p>
      <w:pPr>
        <w:pStyle w:val="FootnoteText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Se aplică cetățenilor străini și cetățenilor români care nu au domiciliul în România / </w:t>
      </w:r>
      <w:r>
        <w:rPr>
          <w:rFonts w:cs="Times New Roman" w:ascii="Times New Roman" w:hAnsi="Times New Roman"/>
          <w:i/>
          <w:iCs/>
        </w:rPr>
        <w:t>It applies to foreign citizens and Romanian citizens who do not reside in Romania.</w:t>
      </w:r>
      <w:r>
        <w:rPr>
          <w:rFonts w:cs="Times New Roman" w:ascii="Times New Roman" w:hAnsi="Times New Roman"/>
        </w:rPr>
        <w:t>.</w:t>
      </w:r>
    </w:p>
  </w:footnote>
  <w:footnote w:id="5">
    <w:p>
      <w:pPr>
        <w:pStyle w:val="FootnoteText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 xml:space="preserve">Se declară sursa fondurilor ce fac obiectul serviciului solicitat (a se vedea art. 1 și 2 din Reglementările sectoriale adoptate de U.N.B.R.). Nu se declară sursa fondurilor din care se achită onorariul de avocat / </w:t>
      </w:r>
      <w:r>
        <w:rPr>
          <w:rFonts w:cs="Times New Roman" w:ascii="Times New Roman" w:hAnsi="Times New Roman"/>
          <w:i/>
          <w:iCs/>
        </w:rPr>
        <w:t>Declare the source of the funds covered by the requested service (see Art. 1 and 2 of the Sectoral Regulations adopted by U.N.B.R.). Do not declare the source of the funds from which the lawyer's fee is paid.</w:t>
      </w:r>
    </w:p>
  </w:footnote>
  <w:footnote w:id="6">
    <w:p>
      <w:pPr>
        <w:pStyle w:val="FootnoteText"/>
        <w:jc w:val="both"/>
        <w:rPr>
          <w:rStyle w:val="Hyperlink"/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A se vedea art. 3 din Legea nr. 129/2019; A se vedea lista publicată și actualizată de A.N.I. potrivit art. 3 alin. 3</w:t>
      </w:r>
      <w:r>
        <w:rPr>
          <w:rFonts w:cs="Times New Roman" w:ascii="Times New Roman" w:hAnsi="Times New Roman"/>
          <w:vertAlign w:val="superscript"/>
        </w:rPr>
        <w:t>1</w:t>
      </w:r>
      <w:r>
        <w:rPr>
          <w:rFonts w:cs="Times New Roman" w:ascii="Times New Roman" w:hAnsi="Times New Roman"/>
        </w:rPr>
        <w:t xml:space="preserve"> din Legea nr. 129/2019 / </w:t>
      </w:r>
      <w:r>
        <w:rPr>
          <w:rFonts w:cs="Times New Roman" w:ascii="Times New Roman" w:hAnsi="Times New Roman"/>
          <w:i/>
          <w:iCs/>
        </w:rPr>
        <w:t>See Art. 3 of Law no. 129/2019; See the list published and updated by A.N.I. according to Art. 3 para. 31 of Law 129/2019:</w:t>
      </w:r>
      <w:r>
        <w:rPr>
          <w:rFonts w:cs="Times New Roman" w:ascii="Times New Roman" w:hAnsi="Times New Roman"/>
        </w:rPr>
        <w:t xml:space="preserve"> </w:t>
      </w:r>
      <w:hyperlink r:id="rId1">
        <w:r>
          <w:rPr>
            <w:rStyle w:val="Hyperlink"/>
            <w:rFonts w:cs="Times New Roman" w:ascii="Times New Roman" w:hAnsi="Times New Roman"/>
          </w:rPr>
          <w:t>https://integritate.eu/competente/lista-functiilor-publice-importante/</w:t>
        </w:r>
      </w:hyperlink>
    </w:p>
    <w:p>
      <w:pPr>
        <w:pStyle w:val="FootnoteText"/>
        <w:jc w:val="both"/>
        <w:rPr>
          <w:rFonts w:ascii="Times New Roman" w:hAnsi="Times New Roman" w:cs="Times New Roman"/>
        </w:rPr>
      </w:pPr>
      <w:hyperlink r:id="rId2">
        <w:r>
          <w:rPr>
            <w:rStyle w:val="Hyperlink"/>
            <w:rFonts w:cs="Times New Roman" w:ascii="Times New Roman" w:hAnsi="Times New Roman"/>
          </w:rPr>
          <w:t>https://www.unbr.ro/category/raporturi-cu-onpcsb/</w:t>
        </w:r>
      </w:hyperlink>
      <w:r>
        <w:rPr>
          <w:rStyle w:val="Hyperlink"/>
          <w:rFonts w:cs="Times New Roman" w:ascii="Times New Roman" w:hAnsi="Times New Roman"/>
        </w:rPr>
        <w:t xml:space="preserve"> / </w:t>
      </w:r>
    </w:p>
  </w:footnote>
  <w:footnote w:id="7">
    <w:p>
      <w:pPr>
        <w:pStyle w:val="FootnoteText"/>
        <w:jc w:val="both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 xml:space="preserve">Se va completa gradul de rudenie sau legătura cu PEP / </w:t>
      </w:r>
      <w:r>
        <w:rPr>
          <w:rFonts w:cs="Times New Roman" w:ascii="Times New Roman" w:hAnsi="Times New Roman"/>
          <w:i/>
          <w:iCs/>
        </w:rPr>
        <w:t>complete the degree of kinship or relationship to the PEP</w:t>
      </w:r>
      <w:r>
        <w:rPr>
          <w:rFonts w:cs="Times New Roman" w:ascii="Times New Roman" w:hAnsi="Times New Roman"/>
        </w:rPr>
        <w:t>.</w:t>
      </w:r>
    </w:p>
  </w:footnote>
</w:footnote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b4afa"/>
    <w:rPr>
      <w:color w:themeColor="hyperlink" w:val="0000FF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fc5aee"/>
    <w:rPr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sid w:val="00fc5ae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6533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65333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3141db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3141db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3141db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41db"/>
    <w:rPr>
      <w:rFonts w:ascii="Segoe UI" w:hAnsi="Segoe UI" w:cs="Segoe UI"/>
      <w:sz w:val="18"/>
      <w:szCs w:val="18"/>
    </w:rPr>
  </w:style>
  <w:style w:type="character" w:styleId="rvts91" w:customStyle="1">
    <w:name w:val="rvts91"/>
    <w:basedOn w:val="DefaultParagraphFont"/>
    <w:qFormat/>
    <w:rsid w:val="00d92822"/>
    <w:rPr>
      <w:rFonts w:ascii="Times New Roman" w:hAnsi="Times New Roman" w:cs="Times New Roman"/>
      <w:sz w:val="24"/>
      <w:szCs w:val="24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aee"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6533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6533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CommentTextChar"/>
    <w:uiPriority w:val="99"/>
    <w:semiHidden/>
    <w:unhideWhenUsed/>
    <w:rsid w:val="003141d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3141db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41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d19"/>
    <w:pPr>
      <w:spacing w:before="0" w:after="200"/>
      <w:ind w:left="720"/>
      <w:contextualSpacing/>
    </w:pPr>
    <w:rPr/>
  </w:style>
  <w:style w:type="paragraph" w:styleId="Corp" w:customStyle="1">
    <w:name w:val="Corp"/>
    <w:qFormat/>
    <w:rsid w:val="007553e6"/>
    <w:pPr>
      <w:widowControl/>
      <w:suppressAutoHyphens w:val="true"/>
      <w:bidi w:val="0"/>
      <w:spacing w:lineRule="auto" w:line="240" w:before="0" w:after="0"/>
      <w:jc w:val="left"/>
    </w:pPr>
    <w:rPr>
      <w:rFonts w:ascii="Trebuchet MS" w:hAnsi="Trebuchet MS" w:eastAsia="Arial Unicode MS" w:cs="Arial Unicode MS"/>
      <w:color w:val="000000"/>
      <w:kern w:val="0"/>
      <w:sz w:val="24"/>
      <w:szCs w:val="24"/>
      <w:u w:val="none" w:color="000000"/>
      <w:lang w:val="ro-RO" w:eastAsia="en-US" w:bidi="ar-SA"/>
      <w14:textOutline w14:w="0" w14:cap="flat" w14:cmpd="sng" w14:algn="ctr">
        <w14:noFill/>
        <w14:prstDash w14:val="solid"/>
        <w14:bevel/>
      </w14:textOutline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d2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integritate.eu/competente/lista-functiilor-publice-importante/" TargetMode="External"/><Relationship Id="rId2" Type="http://schemas.openxmlformats.org/officeDocument/2006/relationships/hyperlink" Target="https://www.unbr.ro/category/raporturi-cu-onpcsb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LibreOffice/24.8.3.2$MacOSX_X86_64 LibreOffice_project/48a6bac9e7e268aeb4c3483fcf825c94556d9f92</Application>
  <AppVersion>15.0000</AppVersion>
  <Pages>2</Pages>
  <Words>849</Words>
  <Characters>4474</Characters>
  <CharactersWithSpaces>5294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2025-01-27T09:25:00Z</dcterms:created>
  <dc:creator>Daniel Cismaru - Secretar General UNBR</dc:creator>
  <dc:description/>
  <dc:language>en-US</dc:language>
  <cp:lastModifiedBy>Laurentiu Liviu Anghel</cp:lastModifiedBy>
  <cp:lastPrinted>2017-09-05T09:26:00Z</cp:lastPrinted>
  <dcterms:modified xsi:type="dcterms:W3CDTF">2025-02-11T06:45:05Z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